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B6AA0" w:rsidRPr="00D22783" w:rsidTr="00DD446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AA0" w:rsidRPr="00D22783" w:rsidRDefault="009B6AA0" w:rsidP="00DD4468">
            <w:pPr>
              <w:autoSpaceDE w:val="0"/>
              <w:autoSpaceDN w:val="0"/>
              <w:adjustRightInd w:val="0"/>
              <w:spacing w:before="62"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2783">
              <w:rPr>
                <w:rFonts w:ascii="Times New Roman" w:eastAsia="Times New Roman" w:hAnsi="Times New Roman"/>
                <w:bCs/>
                <w:lang w:eastAsia="ru-RU"/>
              </w:rPr>
              <w:t>«УТВЕРЖДАЮ»</w:t>
            </w:r>
          </w:p>
          <w:p w:rsidR="009B6AA0" w:rsidRDefault="000729B8" w:rsidP="00DD4468">
            <w:pPr>
              <w:autoSpaceDE w:val="0"/>
              <w:autoSpaceDN w:val="0"/>
              <w:adjustRightInd w:val="0"/>
              <w:spacing w:before="62"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Директор ЧОУ ДПО ТУКК</w:t>
            </w:r>
          </w:p>
          <w:p w:rsidR="000729B8" w:rsidRPr="00D22783" w:rsidRDefault="000729B8" w:rsidP="00DD4468">
            <w:pPr>
              <w:autoSpaceDE w:val="0"/>
              <w:autoSpaceDN w:val="0"/>
              <w:adjustRightInd w:val="0"/>
              <w:spacing w:before="62"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Максимум</w:t>
            </w:r>
          </w:p>
          <w:p w:rsidR="009B6AA0" w:rsidRPr="00D22783" w:rsidRDefault="000729B8" w:rsidP="00DD4468">
            <w:pPr>
              <w:autoSpaceDE w:val="0"/>
              <w:autoSpaceDN w:val="0"/>
              <w:adjustRightInd w:val="0"/>
              <w:spacing w:before="62"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____________ В. А. Захаров</w:t>
            </w:r>
          </w:p>
          <w:p w:rsidR="009B6AA0" w:rsidRPr="00D22783" w:rsidRDefault="000729B8" w:rsidP="0095785F">
            <w:pPr>
              <w:spacing w:after="0" w:line="360" w:lineRule="auto"/>
              <w:ind w:right="4" w:firstLine="56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 «___» ___________201</w:t>
            </w:r>
            <w:r w:rsidR="0095785F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bookmarkStart w:id="0" w:name="_GoBack"/>
            <w:bookmarkEnd w:id="0"/>
            <w:r w:rsidR="009B6AA0" w:rsidRPr="00D22783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9B6AA0" w:rsidRPr="00D22783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</w:tbl>
    <w:p w:rsidR="009B6AA0" w:rsidRPr="001F272A" w:rsidRDefault="009B6AA0" w:rsidP="009B6AA0">
      <w:pPr>
        <w:jc w:val="center"/>
        <w:rPr>
          <w:rFonts w:ascii="Times New Roman" w:hAnsi="Times New Roman"/>
          <w:sz w:val="20"/>
        </w:rPr>
      </w:pPr>
    </w:p>
    <w:p w:rsidR="009B6AA0" w:rsidRDefault="009B6AA0" w:rsidP="009B6AA0">
      <w:pPr>
        <w:jc w:val="center"/>
        <w:rPr>
          <w:rFonts w:ascii="Times New Roman" w:hAnsi="Times New Roman"/>
          <w:u w:val="single"/>
        </w:rPr>
      </w:pPr>
    </w:p>
    <w:p w:rsidR="009B6AA0" w:rsidRDefault="009B6AA0" w:rsidP="009B6AA0">
      <w:pPr>
        <w:jc w:val="center"/>
        <w:rPr>
          <w:rFonts w:ascii="Times New Roman" w:hAnsi="Times New Roman"/>
          <w:u w:val="single"/>
        </w:rPr>
      </w:pPr>
    </w:p>
    <w:p w:rsidR="009B6AA0" w:rsidRDefault="009B6AA0" w:rsidP="009B6AA0">
      <w:pPr>
        <w:jc w:val="center"/>
        <w:rPr>
          <w:rFonts w:ascii="Times New Roman" w:hAnsi="Times New Roman"/>
          <w:u w:val="single"/>
        </w:rPr>
      </w:pPr>
    </w:p>
    <w:p w:rsidR="009B6AA0" w:rsidRDefault="009B6AA0" w:rsidP="009B6AA0">
      <w:pPr>
        <w:jc w:val="center"/>
        <w:rPr>
          <w:rFonts w:ascii="Times New Roman" w:hAnsi="Times New Roman"/>
          <w:u w:val="single"/>
        </w:rPr>
      </w:pPr>
    </w:p>
    <w:p w:rsidR="009B6AA0" w:rsidRDefault="009B6AA0" w:rsidP="009B6AA0">
      <w:pPr>
        <w:jc w:val="center"/>
        <w:rPr>
          <w:rFonts w:ascii="Times New Roman" w:hAnsi="Times New Roman"/>
          <w:u w:val="single"/>
        </w:rPr>
      </w:pPr>
    </w:p>
    <w:p w:rsidR="009B6AA0" w:rsidRDefault="009B6AA0" w:rsidP="009B6AA0">
      <w:pPr>
        <w:jc w:val="center"/>
        <w:rPr>
          <w:rFonts w:ascii="Times New Roman" w:hAnsi="Times New Roman"/>
          <w:u w:val="single"/>
        </w:rPr>
      </w:pPr>
    </w:p>
    <w:p w:rsidR="009B6AA0" w:rsidRPr="002633EA" w:rsidRDefault="009B6AA0" w:rsidP="009B6AA0">
      <w:pPr>
        <w:jc w:val="center"/>
        <w:rPr>
          <w:rFonts w:ascii="Times New Roman" w:hAnsi="Times New Roman"/>
          <w:u w:val="single"/>
        </w:rPr>
      </w:pPr>
    </w:p>
    <w:p w:rsidR="009B6AA0" w:rsidRPr="009463C1" w:rsidRDefault="009B6AA0" w:rsidP="009B6AA0">
      <w:pPr>
        <w:pStyle w:val="5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63C1">
        <w:rPr>
          <w:rFonts w:ascii="Times New Roman" w:hAnsi="Times New Roman"/>
          <w:b/>
          <w:color w:val="auto"/>
          <w:sz w:val="32"/>
          <w:szCs w:val="32"/>
        </w:rPr>
        <w:t>МЕТОДИЧЕСКИЕ РЕКОМЕНДАЦИИ</w:t>
      </w:r>
    </w:p>
    <w:p w:rsidR="009B6AA0" w:rsidRPr="009463C1" w:rsidRDefault="009B6AA0" w:rsidP="009B6AA0">
      <w:pPr>
        <w:pStyle w:val="a3"/>
        <w:rPr>
          <w:bCs w:val="0"/>
          <w:i w:val="0"/>
          <w:iCs w:val="0"/>
          <w:sz w:val="16"/>
          <w:szCs w:val="24"/>
        </w:rPr>
      </w:pPr>
    </w:p>
    <w:p w:rsidR="009B6AA0" w:rsidRPr="00250A45" w:rsidRDefault="009B6AA0" w:rsidP="00250A4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" w:name="_Toc288649416"/>
      <w:r w:rsidRPr="009463C1">
        <w:rPr>
          <w:rFonts w:ascii="Times New Roman" w:hAnsi="Times New Roman"/>
          <w:iCs/>
          <w:sz w:val="36"/>
          <w:szCs w:val="36"/>
        </w:rPr>
        <w:t>по предмету</w:t>
      </w:r>
      <w:r>
        <w:rPr>
          <w:rFonts w:ascii="Times New Roman" w:hAnsi="Times New Roman"/>
          <w:iCs/>
          <w:sz w:val="36"/>
          <w:szCs w:val="36"/>
        </w:rPr>
        <w:t>:</w:t>
      </w:r>
      <w:r w:rsidRPr="009463C1">
        <w:rPr>
          <w:rFonts w:ascii="Times New Roman" w:hAnsi="Times New Roman"/>
          <w:iCs/>
          <w:sz w:val="36"/>
          <w:szCs w:val="36"/>
        </w:rPr>
        <w:t xml:space="preserve"> «</w:t>
      </w:r>
      <w:r w:rsidR="00250A45" w:rsidRPr="00250A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Организация и выполнение грузовых перевозок автомобильным транспортом</w:t>
      </w:r>
      <w:r w:rsidRPr="009463C1">
        <w:rPr>
          <w:rFonts w:ascii="Times New Roman" w:hAnsi="Times New Roman"/>
          <w:iCs/>
          <w:sz w:val="36"/>
          <w:szCs w:val="36"/>
        </w:rPr>
        <w:t>»</w:t>
      </w:r>
      <w:bookmarkEnd w:id="1"/>
    </w:p>
    <w:p w:rsidR="009B6AA0" w:rsidRPr="009463C1" w:rsidRDefault="009B6AA0" w:rsidP="009B6AA0"/>
    <w:p w:rsidR="009B6AA0" w:rsidRPr="009463C1" w:rsidRDefault="009B6AA0" w:rsidP="009B6AA0"/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9B6AA0" w:rsidRDefault="009B6AA0" w:rsidP="009B6AA0">
      <w:pPr>
        <w:jc w:val="center"/>
        <w:rPr>
          <w:rFonts w:ascii="Times New Roman" w:hAnsi="Times New Roman"/>
          <w:sz w:val="24"/>
          <w:szCs w:val="24"/>
        </w:rPr>
      </w:pPr>
    </w:p>
    <w:p w:rsidR="00A60735" w:rsidRDefault="00A60735"/>
    <w:p w:rsidR="00250A45" w:rsidRDefault="00250A45"/>
    <w:p w:rsidR="00250A45" w:rsidRDefault="00250A45"/>
    <w:p w:rsidR="00250A45" w:rsidRDefault="00250A45"/>
    <w:p w:rsidR="00250A45" w:rsidRPr="00250A45" w:rsidRDefault="00250A45" w:rsidP="00250A4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bookmarkStart w:id="2" w:name="sub_1004"/>
      <w:r w:rsidRPr="00250A4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Организация и выполнение грузовых перевозок автомобильным транспортом</w:t>
      </w:r>
      <w:bookmarkEnd w:id="2"/>
    </w:p>
    <w:p w:rsidR="00250A45" w:rsidRPr="00250A45" w:rsidRDefault="00250A45" w:rsidP="00250A4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sub_100041"/>
      <w:r w:rsidRPr="00250A45">
        <w:rPr>
          <w:rFonts w:ascii="Arial" w:eastAsia="Times New Roman" w:hAnsi="Arial" w:cs="Arial"/>
          <w:color w:val="365F91"/>
          <w:sz w:val="20"/>
          <w:szCs w:val="20"/>
          <w:lang w:eastAsia="ru-RU"/>
        </w:rPr>
        <w:t> </w:t>
      </w:r>
      <w:bookmarkEnd w:id="3"/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понятия: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груз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материальный объект, принятый для перевозки в установленном порядке;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грузоотправитель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физическое или юридическое лицо, которое по договору перевозки груза выступает от своего имени или от имени владельца груза и указывается в транспортной накладной;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грузополучатель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физическое или юридическое лицо, управомоченное на получение груза;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маршрут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путь следования транспортного средства между пунктами отправления и назначения;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перевозчик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управомоченному на их получение лицу;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путевой лист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документ, служащий для учета и контроля работы транспортного средства, водителя; расписание - 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скоропортящийся груз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груз, сохранность которого при перевозке транспортным средством обеспечивается посредством соблюдения определенного температурного режима;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специализированное транспортное средство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транспортное средство, предназначенное и оборудованное для перевозки определенных видов грузов;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терминал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производственно-технологический комплекс, предназначенный для осуществления операций, связанных с перевозками грузов;</w:t>
      </w:r>
    </w:p>
    <w:p w:rsid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транспортная накладная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перевозочный документ, подтверждающий заключение договора перевозки груза;</w:t>
      </w:r>
    </w:p>
    <w:p w:rsidR="00225ADE" w:rsidRDefault="00225ADE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5ADE" w:rsidRPr="00250A45" w:rsidRDefault="00225ADE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ВВЕДЕНИЕ.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современном этапе развития мировой экономики автомобильный транспорт для большинства развитых стран является основным видом внутреннего транспорта и ключевым элементом транспортной системы в обеспечении экономического роста и социального развития этих стран.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Массовое применение автотранспортных средств повлекло за собой изменения во всех секторах экономики и в социальной сфере, на рынке труда, в градостроительной тактике, в организации розничной торговли, отдыха, в других аспектах жизни общества. При этом процесс автомобилизации принял по существу глобальный характер. В настоящее время в наиболее развитых странах 75-80% всего объема пассажирских и грузовых перевозок выполняется автомобильным транспортом.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странах ЕС значительная доля (от 50 др 68 %) в объеме перевозок грузов выполняется коммерческими автопредприятиями, относящимися к так называемому транспорту общего пользования.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перевозках грузов за рубежом особое внимание уделяется внедрению эффективных транспортно-логистических технологий: по терминальной системе, мультимодальным и интермодальным перевозкам с применением крупнотоннажных контейнеров, контрейлеров, транспортных пакетов. За последние 7-8 лет объемы таких перевозок в США, Германии, Франции, Японии увеличились более чем в 1,5 раза.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на этапе становления рыночных отношений сложились объективные предпосылки для ускоренного развития автомобильного транспорта. Возросло его влияние на развитие социально-экономической сферы страны. Так, при перевозках грузов установилась тенденция, подтверждающая практику зарубежных стран: средние темпы роста объемов автомобильных перевозок соответствуют средним темпам экономического роста, превышая при этом темпы роста объемов перевозок на других видах транспорта.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Известные преимущества автомобильного транспорта (обеспечение партионности, возможность организации работы «с колес», доставка «от двери до двери», скорость, гибкость, мобильность, надежность) позволяют рассматривать его как наиболее рыночно ориентированный вид транспорта. В сфере автомобильного транспорта функционируют более 450 тыс. хозяйствующих субъектов различных видов собственности и организационно-правовых форм.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Массовая автомобилизация страны обеспечила возможность формирования значительного числа рабочих мест не только на предприятиях автотранспортного комплекса, но и в других ресурсно обеспечивающих его деятельность отраслях экономики (автомобилестроение; металлургия, химическая промышленность, топливно-энергетический комплекс, торговля).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Автомобильный транспорт является одной из важнейших составляющих транспортного обеспечения безопасности государства в особый период.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Автомобильному транспорту нет адекватной замены при перевозках дорогостоящих грузов на небольшие и средние расстояния в транспортном обеспечении розничной торговли, производственной логистики, строительной индустрии, агрокомплекса, а также малого бизнеса, что подтверждается объемами перевозок грузов и значительной автотранспортной составляющей в стоимости продукции: в промышленности — не менее 15%, в строительстве — до 30%, в сельском хозяйстве и торговле — до 40%.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Нормативные правовые акты, определяющие порядок перевозки грузов автомобильным транспортом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Производственный процесс на автомобильном транспорте, заключающийся в перемещении грузов и пассажиров подвижным составом в пространстве и времени, называется автомобильными перевозками. Классификация перевозок служит основой учета, государственного регулирования лицензионной деятельности, а также стандартизации и сертификации перевозок грузов.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Стандартизация и сертификация являются основой для разработки методов повышения качества обслуживания и интенсификации работы грузового подвижного состава.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два вида автомобильных перевозок — грузовые и пассажирские. С 1990 г. центральным органом управления автотранспортной деятельностью в РФ является федеральный орган исполнитель¬ной власти — Министерство транспорта Российской Федерации (Минтранс РФ), который обеспечивает проведение государствен-ной политики и общее государственное управление и регулирова¬ние транспортного комплекса.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Регулирование деятельности транспортных предприятий выполняет Федераль¬ная служба по надзору в сфере транспорта (Ространснадзор), которая имеет территориальные управления. Территориальные уп¬равления Федеральной службы по надзору непосредственно кон¬тактируют с организациями и индивидуальными предпринима-телями, работающими в сфере транспортного комплекса, и свою работу согласовывают с местными органами власти. В первую очередь это касается формирования государственного заказа на общественно необходимые перевозки, социально значимые пе¬ревозки и т. п.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государственного регулирования деятельности автотранс¬портного предприятия без учета экономических факторов пред¬ставлена на </w:t>
      </w:r>
      <w:hyperlink r:id="rId7" w:history="1">
        <w:r w:rsidRPr="00250A45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рис. 1</w:t>
        </w:r>
      </w:hyperlink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Совокупность правовых норм, регулирующих имущественные и организационные отношения, в которые вступают АТП в процессе 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осуществления перевозок, технической эксплуатации и движения транспортных средств, составляют транспортное право (</w:t>
      </w:r>
      <w:hyperlink r:id="rId8" w:history="1">
        <w:r w:rsidRPr="00250A45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рис. 2</w:t>
        </w:r>
      </w:hyperlink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Нормативно-правовые акты по организации автотранспортной деятельности можно классифицировать по направлениям: частное право в автотранспортной деятельности; организация грузовых и пассажирских перевозок; техническая эксплуатация подвижного состава; организация дорожного движения.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Нормативно-правовые акты по частному праву в автотранспортной деятельности включают: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кодекс Российской Федерации;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Уголовный кодекс Российской Федерации;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Административный кодекс Российской Федерации;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 автомобильного транспорта;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 автомо¬бильного транспорта и городского наземного электрического транс-порта (в ред. Федерального закона от 08.11.2007 № 259-ФЗ);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об автотранспортной деятельности.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Нормативно-техническую документацию </w:t>
      </w: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организации грузовых автомобильных перевозок составляют: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перевозок грузов автомобильным транспортом;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Унифицированные формы первичной учётной документации. По учёту работ в автомобильном транспорте;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Транспорта РФ от 30.06.2000 г. №68 «О введении путевой документации для индивидуальных предпринимателей, осуществляющих перевозочную деятельность на автомобильном транспорте»;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перевозок опасных грузов;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по перевозке крупногабаритных и тяжеловесных грузов;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Санитарные правила и нормы. Санитарные требования к транспортировке пищевых продуктов.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Инструкции министерств и ведомств по правилам перевозок отдельных видов грузов (боеприпасов, радиоактивных веществ и материалов и др).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Нормативно-техническая документация по безопасности дорожного движения: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 о безопасности дорожного движения;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дорожного движения;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 –Приказ Министерства транспорта от 09.03.1995 г. №27;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о проведении предрейсовых медицинских осмотров водителей автотранспортных средств. Приказ Министерства здравоохранения СССР от 29.09.1989 г. №555, приложение 9.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на территории РФ действует Устав автомо¬бильного транспорта и городского наземного электрического транс¬порта (в ред. Федерального закона от 08.11.2007 № 259-ФЗ), кото¬рый является важнейшим документом, регламентирующим дея¬тельность субъектов автомобильного транспорта и отношения меж¬ду ними.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 состоит из восьми глав и 44 статей.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1. «Общие положения» (ст. 1—7) включает в себя основ¬ные понятия и определения, используемые в Уставе.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2. «Перевозки грузов» (ст. 8—18) устанавливает, что за¬ключение договора перевозки груза подтверждается транспорт¬ной накладной; определяет права и обязанности грузоотправите¬ля, грузополучателя и перевозчика по договору перевозки в отно¬шении предоставления груза и транспортных средств, выполнения ПРР, пломбирования транспортных средств (контейнеров), оп¬ределения массы груза, очистки транспортных средств (контей¬неров); устанавливает, что груз можно считать утраченным после 10 дней со дня приема груза (в городском и пригородном сообще¬нии) и после 30 дней со дня, когда груз должен был быть достав¬лен грузоперевозчиком в междугороднем сообщении.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3. «Регулярные перевозки пассажиров и багажа» (ст. 19—26) определяет виды регулярных перевозок пассажиров и багажа; ус¬танавливает, что заключение договора перевозки пассажира удо¬стоверяется билетом, сдача пассажиром багажа — багажной кви¬танцией, провоз пассажиром ручной клади за плату — квитанцией на провоз ручной клади; определяет правила перевозки детей, а также права пассажира и перевозчика при осуществлении регу¬лярных перевозок.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Глава 4. «Перевозки пассажиров и багажа по заказам» (ст. 27—30) устанавливает, что перевозка пассажиров и багажа по заказу осу¬ществляется на основании договора фрахтования (в письменном виде), в котором указывается маршрут перевозки; определяет пра¬вила изменения такого договора, а также права фрахтователя и фрахтовщика.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5. «Перевозки пассажиров и багажа легковыми такси» (ст. 31—33) устанавливает, что перевозка пассажиров и багажа лег¬ковым такси осуществляется на основании договора фрахтования (в устной форме); определяет права фрахтователя и фрахтовщика по этому договору.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6. «Ответственность перевозчиков, фрахтовщиков, грузо¬отправителей, грузополучателей, пассажиров, фрахтователей» (ст. 34—37) определяет пределы ответственности и основания осво¬бождения от ответственности.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Перевозчик, фрахтовщик несет ответственность в следующих случаях:</w:t>
      </w:r>
    </w:p>
    <w:p w:rsidR="00250A45" w:rsidRPr="00250A45" w:rsidRDefault="00250A45" w:rsidP="00250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невывоз груза (непредоставление транспортного средства) перевозчик (фрахтовщик) оплачивает грузоотправителю (фрах¬тователю) штраф — 20% провозной платы, если иное не уста¬новлено договором;</w:t>
      </w:r>
    </w:p>
    <w:p w:rsidR="00250A45" w:rsidRPr="00250A45" w:rsidRDefault="00250A45" w:rsidP="00250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несвоевременное предоставление транспортного средства, контейнера перевозчик оплачивает грузоотправителю за каждый полный час просрочки штраф: 5 % провозной платы (в пригородном и городском сообщении); 1 % среднесуточной провозной платы (в междугороднем сообщении), если иное не установлено договором;</w:t>
      </w:r>
    </w:p>
    <w:p w:rsidR="00250A45" w:rsidRPr="00250A45" w:rsidRDefault="00250A45" w:rsidP="00250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утрату, недостачу, повреждение (порчу) груза перевозчик возмещает грузоотправителю ущерб в размере стоимости утрачен¬ного или недостающего груза или суммы, на которую понизилась стоимость груза, а также возвращает грузоотправителю или грузо¬получателю провозную плату, если она не входит в стоимость груза;</w:t>
      </w:r>
    </w:p>
    <w:p w:rsidR="00250A45" w:rsidRPr="00250A45" w:rsidRDefault="00250A45" w:rsidP="00250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просрочку доставки груза перевозчик оплачивает грузоперевозчику штраф — 9 % провозной платы за каждые сутки про¬срочки (но не более размера провозной платы), если иное не ус¬тановлено договором. Просрочка исчисляется с 24 часов суток, когда должен был быть доставлен груз.</w:t>
      </w:r>
    </w:p>
    <w:p w:rsidR="00250A45" w:rsidRPr="00250A45" w:rsidRDefault="00250A45" w:rsidP="002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Грузоотправитель, грузополучатель, фрахтователь, пассажир несет ответственность в следующих случаях:</w:t>
      </w:r>
    </w:p>
    <w:p w:rsidR="00250A45" w:rsidRPr="00250A45" w:rsidRDefault="00250A45" w:rsidP="0025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непредъявление для перевозки груза (отказ от пользования транспортного средства) грузоотправитель (фрахтователь) опла¬чивает перевозчику (фрахтовщику) штраф — 20 % провозной пла¬ты, если иное не установлено договором перевозки;</w:t>
      </w:r>
    </w:p>
    <w:p w:rsidR="00250A45" w:rsidRPr="00250A45" w:rsidRDefault="00250A45" w:rsidP="0025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неуказание в транспортной накладной особых отметок о грузе грузоотправитель оплачивает перевозчику штраф — 20 % провозной платы, а также возмещает ущерб, причиненный пере¬возчику таким нарушением;</w:t>
      </w:r>
    </w:p>
    <w:p w:rsidR="00250A45" w:rsidRPr="00250A45" w:rsidRDefault="00250A45" w:rsidP="0025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задержку (простой) транспортных средств (контейнеров), поданных под погрузку (выгрузку), грузоотправитель (грузополу¬чатель) оплачивает перевозчику за каждый полный час задержки (простоя) штраф: 5 % провозной платы (в пригородном и город¬ском сообщении); 1 % среднесуточной провозной платы (в меж¬дугороднем сообщении), если иное не установлено договором. При задержке (простое) СПС размер штрафа увеличивается в 2 раза.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7. «Акты, претензии, иски» (ст. 38— 42) устанавливает порядок предъявления претензий и исков перевозчикам (фрах¬товщикам), а также порядок их рассмотрения. Срок предъявления претензии равен сроку исковой давности и составляет 1 год. Пере¬возчик (фрахтовщик) обязан рассмотреть претензию и дать пись¬менный ответ на нее в течение 30 дней со дня ее получения.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8. «Заключительные положения» (ст. 43—44) определяет порядок применения Устава.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Закон Российской Федерации «Об автотранспортной деятельности»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 правовые, организационные и экономические основы деятельности автомобильного транспорта, компетенцию государственной власти Российской Федерации, субъектов Российской Федерации и местного самоуправления по управлению автотранспортной деятельностью, а также права и обязанности граждан и юридических лиц, участвующих в автотранспортной деятельности и пользующихся автотранспортными услугами.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главе 1 – Общие положения вводятся определения некоторых понятий: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Автотранспортная деятельность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комплекс работ и услуг, связанных с подготовкой, организацией и осуществлением автомобильных перевозок людей и грузов, включая транспортно-экспедиционные работы, техническую эксплуатацию автотранспортных средств и пр.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Автотранспортные органы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- федеральный орган исполнительной власти Российской Федерации, органы исполнительной власти субъектов Российской Федерации или органы местного самоуправления, уполномоченные осуществлять функции управления автотранспортной деятельностью.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Оператор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гражданин или юридическое лицо, осуществляющее в установленном порядке определённый вид автотранспортной деятельности.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Перевозчик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оператор, заключивший в установленном порядке договор автомобильной перевозки пассажира или автомобильной перевозки груза.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Клиент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гражданин или юридическое лицо, пользующееся или намеренное воспользоваться услугами оператора на основании договора перевозки, 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договора транспортной экспедиции или иного договора, предусмотренного законодательством Российской Федерации.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Автомобильная перевозка (пассажиров, грузов)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перемещение пассажиров или грузов с использованием автотранспортных средств.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Перевозки автомобильным транспортом общего пользования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автомобильные перевозки, которые должны в соответствии с установленными для данного вида перевозок требованиями выполняться оператором по обращению любого гражданина или юридического лица.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2. Государственное управление автотранспортной деятельностью.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3. Виды автотранспортной деятельности: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Автомобильные перевозки пассажиров; Автомобильные перевозки грузов; Техническая эксплуатация автотранспортных средств. Могут выполняться на коммерческой основе и некоммерческие.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4. Допуск к осуществлению автотранспортной деятельности.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5. Регулирование конкуренции при осуществлении автотранспортной деятельности.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6. Требования к автотранспортным средствам и оборудованию.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7. Регулирование тарифов.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8. Обеспечение мобилизационной готовности и привлечение операторов к ликвидации чрезвычайных ситуаций.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9. Перевозки пассажиров и багажа автомобильным транспортом.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10. Перевозки грузов автомобильным транспортом.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11. Транспортная экспедиция при автомобильных перевозках грузов.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12. Агентирование при автомобильных перевозках грузов.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13. Заключительные положения.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нормативным документом, определяющим взаимоотношения в сфере грузовых автомобильных перевозок, является </w:t>
      </w: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Гражданский кодекс Российской Федерации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(ГК РФ), ч. 2, гл. 40 «Перевозка». Гражданский кодекс предусматривает, что перевозка грузов осуществляется на основании договора перевозки. По договору перевозки груза перевозчик обязуется доставить вверенный ему отправителем груз в пункт назначения и выдать его 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управомоченному на получение груза лицу (получателю), а отправитель обязуется уплатить за перевозку груза установленную плату.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договора перевозки груза подтверждается составлением и выдачей отправителю груза транспортной накладной (коносамента или иного документа на груз, предусмотренного соответствующим транспортным уставом или кодексом).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понятия «Договор перевозки груза» существует понятие «Договор об организации перевозок». 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договору об организации перевозки грузов перевозчик обязуется в установленные сроки принимать, а грузовладелец – предъявлять к перевозке грузы в обусловленном объёме. В договоре об организации перевозок грузов определяются объёмы, сроки и другие условия предоставления транспортных средств и предъявления грузов для перевозки, порядок расчётов, а также иные условия организации перевозок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ГК предусмотрено, что общие условия перевозки определяются транспортными уставами и кодексами, иными законами и издаваемыми в соответствии с ними правилами.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перевозок грузов на автотранспорте конкретизируют и дополняют положения Устава AT. Основные пункты Правил могут быть использованы при составлении договоров с грузовладельца¬ми, так как основаны на большом практическом опыте выполне¬ния перевозок. Разделы Правил содержат основные обязанности и права участников транспортного процесса (перевозчика, грузо¬отправителя и грузополучателя), правила заключения договоров на перевозку грузов, правила приема грузов к перевозке, правила пломбирования грузов, правила выдачи грузов, правила переадресовки грузов.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Документы на перевозку грузов.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перевозок на каждом АТС должны быть доку¬менты, которые относятся к документам строгой отчетности (име¬ют серию и учетный номер). В общем случае такими документами считаются путевой лист и товарно-транспортная накладная (ТТН) при перевозке гру¬зов товарного характера (имеющих стоимость).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Путевой лист является основным первичным документом, оп¬ределяющим совместно с ТТН показатели при учете работы ПС и водителя, начислении заработной платы водителю и расчетах за перевозки грузов.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Товарно-транспортная накладная представляется перевозчику грузоотправителем и является основным документом для списа¬ния груза 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грузоотправителем и оприходования его грузополучате¬лем. Грузоотправитель оформляет отдельную ТТН для каждого гру-зополучателя и каждой ездки АТС с обязательным заполнением всех реквизитов.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ТТН выписывается в четырех экземплярах: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– остается у грузоотправителя и предназначается для списания товарно-материальных ценностей;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второй, третий и четвертый, заверенные подписями и печатями (штампами) грузоотправителя и подписью водителя, вручаются водителю;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– сдается водителем грузополучателю и предназначается для оприходования товарно-материальных ценностей у получателя груза;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и четвертый, заверенные подписями и печатями (штампами) грузополучателя, сдаются организации - владельцу автотранспорта.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экземпляр, служащий основанием для расчетов, организация - владелец автотранспорта прилагает к счету за перевозку и высылает плательщику - заказчику автотранспорта, а четвертый – прилагается к путевому листу и служит основанием для учета транспортной работы и начисления заработной платы водителю.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грузам нетоварного характера, по которым не ведется складской учет товарно-материальных ценностей, но организован учет путем замера, взвешивания, геодезического замера, товарно-транспортная накладная выписывается в трех экземплярах: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и второй экземпляры передаются организации - владельцу автотранспорта. Первый экземпляр служит основанием для расчетов организации - владельца автотранспорта с грузоотправителем и прилагается к счету, а второй – прилагается к путевому листу и служит основанием для учета транспортной работы;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экземпляр остается у грузоотправителя и служит основанием для учета выполненных объемов перевозок.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подвижному составу для международных перевозок. 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в самом начале широкого развития МАП в 1958 г. в Женеве было принято Соглашение о принятии единообразных усло¬вий утверждения и признания предметов оборудования и частей механических транспортных средств. Наша страна присоединилась к этому Соглашению в 1987 г., что обусловило введение у нас сертификации АТС.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разработано более 90 Правил ЕЭК ООН и более 50 Директив ЕС, которым должны удовлетворять новые АТС, перемещающиеся по 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европейским дорогам. Практически все эти Правила касаются производителей АТС. Перевозчика могут вол¬новать два Правила, относящиеся к экологичности ПС, и весовые и габаритные ограничения.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 № 49 накладывает ограничения на токсичность вы¬хлопных газов двигателя. Основные требования этого правила приведены в табл. 1.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Автотранспортное средство, отвечающее требованиям стандарта Евро-1, обозначается белой буквой U (umwelt) в зеленом кру¬ке, размещаемом на кабине, а требованиям Евро-2 — буквой S (supergrun).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 № 51 накладывает ограничения на уровень шума, про¬изводимого АТС. Уровень внешнего шума при разгоне АТС с двиг¬телем мощностью более 150 кВт не должен превышать 80 дБ, а при выпуске сжатого воздуха из пневмосистемы в атмосферу не более 72 дБ. Автотранспортное средство, отвечающее этим требовани¬ям, обозначается белой буквой L (larmarn) в зеленом кружке на кабине. Грузовики с еще более низким уровнем шума обознача¬ются буквой G (gerauscharm).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Комиссией по транспорту Европейского сообщества установлены следующие ограничения на габариты грузовых АТС (Дирек¬тивы 85/3, 86/360, 88/218, 89/338, 89/460, 89/461, 91/60, 96/53 ЕС и стандарт ISO 1726):</w:t>
      </w:r>
    </w:p>
    <w:p w:rsidR="00250A45" w:rsidRPr="00250A45" w:rsidRDefault="00250A45" w:rsidP="00250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высота не более 4 м;</w:t>
      </w:r>
    </w:p>
    <w:p w:rsidR="00250A45" w:rsidRPr="00250A45" w:rsidRDefault="00250A45" w:rsidP="00250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ширина не более 2,55 м (2,6 м для рефрижераторов и ПС с изотермическими кузовами);</w:t>
      </w:r>
    </w:p>
    <w:p w:rsidR="00250A45" w:rsidRPr="00250A45" w:rsidRDefault="00250A45" w:rsidP="00250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длина для одиночного АТС не более 12 м, для тягача с полу¬прицепом — 16,5 м, для автопоезда с прицепом — 18,75 м, с двумя прицепами — 25,9 м;</w:t>
      </w:r>
    </w:p>
    <w:p w:rsidR="00250A45" w:rsidRPr="00250A45" w:rsidRDefault="00250A45" w:rsidP="00250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минимальный дорожный просвет должен быть не менее 160 мм и не менее 190 мм, если расстояние между осями прицепа состав¬ляет более 11,5 м;</w:t>
      </w:r>
    </w:p>
    <w:p w:rsidR="00250A45" w:rsidRPr="00250A45" w:rsidRDefault="00250A45" w:rsidP="00250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автопоезда с полуприцепом, общая длина которых превыша¬ет 15,5 м, должны обладать способностью выполнять разворот внут¬ри концентрических окружностей радиусом 12,5 и 5,3 м (кроме АТС, перевозящих автомобили).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ЕЭК ООН в части выбросов загрязняющих веществ для тяжелых грузовых автомобилей с дизельным двигателем, г/(кВт • ч)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hyperlink r:id="rId9" w:history="1">
        <w:r w:rsidRPr="00250A45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таблица 1</w:t>
        </w:r>
      </w:hyperlink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Предельные полные массы АТС и распределение полной массы по осям в соответствии с требованиями директив ЕС приведены в </w:t>
      </w:r>
      <w:hyperlink r:id="rId10" w:history="1">
        <w:r w:rsidRPr="00250A45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таблице 2 (Весовые ограничения ЕС (данные в скобках для двойных шин и пневмоподвески))</w:t>
        </w:r>
      </w:hyperlink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Ограничения на габаритные параметры, полные массы и допустимые осевые нагрузки в отдельных странах могут существенно отличаться от стандартов ЕС. 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Директивы ЕС не обеспечивают полного согласования, а лишь устанавливают определенную норму, которая должна быть принята каждым государством. Однако от-дельные страны оставляют в силе национальные нормативы, чтобы не допустить снижения эффективности перевозок или учесть местные дорожные условия. Например, в Бельгии допускается ширина АТС до 2,6 м. В Голландии максимальная полная масса для шестиосного ПС составляет 50 т, а в Финляндии для трехзвенного автопоезда — 60 т.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Директиве 3821/85 ЕС грузовые АТС, использующи¬еся для коммерческих перевозок, полной массой более 3,5 т дол¬жны быть оснащены аттестованным в ЕС тахографом.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АТС полной массой более 12 т согласно Директивам 92/6 и 92/24 ЕС должны иметь ограничитель скоростного режима, на¬строенный на предельную скорость 86 км/ч.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перевозок скоропортящихся грузов в международ¬ном сообщении.</w:t>
      </w: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Основным документом, регламентирующим пере¬возку скоропортящихся грузов при МАП, является 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(СПС), подписанное в Женеве 1 сентября 1970 г.</w:t>
      </w:r>
    </w:p>
    <w:p w:rsidR="00250A45" w:rsidRPr="00250A45" w:rsidRDefault="00250A45" w:rsidP="0025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СПС дается основной перечень перевозимых продуктов и требования к температурному режиму для сохранения качества груза.</w:t>
      </w:r>
    </w:p>
    <w:p w:rsidR="00250A45" w:rsidRDefault="00250A45"/>
    <w:sectPr w:rsidR="00250A4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74" w:rsidRDefault="00143C74" w:rsidP="00225ADE">
      <w:pPr>
        <w:spacing w:after="0" w:line="240" w:lineRule="auto"/>
      </w:pPr>
      <w:r>
        <w:separator/>
      </w:r>
    </w:p>
  </w:endnote>
  <w:endnote w:type="continuationSeparator" w:id="0">
    <w:p w:rsidR="00143C74" w:rsidRDefault="00143C74" w:rsidP="002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406598"/>
      <w:docPartObj>
        <w:docPartGallery w:val="Page Numbers (Bottom of Page)"/>
        <w:docPartUnique/>
      </w:docPartObj>
    </w:sdtPr>
    <w:sdtEndPr/>
    <w:sdtContent>
      <w:p w:rsidR="00225ADE" w:rsidRDefault="00225A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5F">
          <w:rPr>
            <w:noProof/>
          </w:rPr>
          <w:t>1</w:t>
        </w:r>
        <w:r>
          <w:fldChar w:fldCharType="end"/>
        </w:r>
      </w:p>
    </w:sdtContent>
  </w:sdt>
  <w:p w:rsidR="00225ADE" w:rsidRDefault="00225A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74" w:rsidRDefault="00143C74" w:rsidP="00225ADE">
      <w:pPr>
        <w:spacing w:after="0" w:line="240" w:lineRule="auto"/>
      </w:pPr>
      <w:r>
        <w:separator/>
      </w:r>
    </w:p>
  </w:footnote>
  <w:footnote w:type="continuationSeparator" w:id="0">
    <w:p w:rsidR="00143C74" w:rsidRDefault="00143C74" w:rsidP="0022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6892"/>
    <w:multiLevelType w:val="multilevel"/>
    <w:tmpl w:val="056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2332C"/>
    <w:multiLevelType w:val="multilevel"/>
    <w:tmpl w:val="954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D1461"/>
    <w:multiLevelType w:val="multilevel"/>
    <w:tmpl w:val="EF9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B0"/>
    <w:rsid w:val="000729B8"/>
    <w:rsid w:val="00143C74"/>
    <w:rsid w:val="00225ADE"/>
    <w:rsid w:val="00250A45"/>
    <w:rsid w:val="003748B0"/>
    <w:rsid w:val="005A58E0"/>
    <w:rsid w:val="0095785F"/>
    <w:rsid w:val="009B6AA0"/>
    <w:rsid w:val="00A60735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05F46-4EA8-4761-80F7-819E73F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A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6AA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AA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A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AA0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99"/>
    <w:rsid w:val="009B6AA0"/>
    <w:p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AA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2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ADE"/>
  </w:style>
  <w:style w:type="paragraph" w:styleId="a7">
    <w:name w:val="footer"/>
    <w:basedOn w:val="a"/>
    <w:link w:val="a8"/>
    <w:uiPriority w:val="99"/>
    <w:unhideWhenUsed/>
    <w:rsid w:val="0022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ADE"/>
  </w:style>
  <w:style w:type="paragraph" w:styleId="a9">
    <w:name w:val="Balloon Text"/>
    <w:basedOn w:val="a"/>
    <w:link w:val="aa"/>
    <w:uiPriority w:val="99"/>
    <w:semiHidden/>
    <w:unhideWhenUsed/>
    <w:rsid w:val="0095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%D0%9F%D0%BB%D0%B0%D0%BA%D0%B0%D1%82%D1%8B%20%D0%BF%D0%BE%20%D0%BF%D1%80%D0%BE%D0%B3%D1%80%D0%B0%D0%BC%D0%BC%D0%B5%20%D0%BA%D0%B0%D1%82%D0%B5%D0%B3%D0%BE%D1%80%D0%B8%D0%B8%20%D0%92%202014\nagl\gruz\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%D0%9F%D0%BB%D0%B0%D0%BA%D0%B0%D1%82%D1%8B%20%D0%BF%D0%BE%20%D0%BF%D1%80%D0%BE%D0%B3%D1%80%D0%B0%D0%BC%D0%BC%D0%B5%20%D0%BA%D0%B0%D1%82%D0%B5%D0%B3%D0%BE%D1%80%D0%B8%D0%B8%20%D0%92%202014\nagl\gruz\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F:\%D0%9F%D0%BB%D0%B0%D0%BA%D0%B0%D1%82%D1%8B%20%D0%BF%D0%BE%20%D0%BF%D1%80%D0%BE%D0%B3%D1%80%D0%B0%D0%BC%D0%BC%D0%B5%20%D0%BA%D0%B0%D1%82%D0%B5%D0%B3%D0%BE%D1%80%D0%B8%D0%B8%20%D0%92%202014\nagl\gruz\tab_0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%D0%9F%D0%BB%D0%B0%D0%BA%D0%B0%D1%82%D1%8B%20%D0%BF%D0%BE%20%D0%BF%D1%80%D0%BE%D0%B3%D1%80%D0%B0%D0%BC%D0%BC%D0%B5%20%D0%BA%D0%B0%D1%82%D0%B5%D0%B3%D0%BE%D1%80%D0%B8%D0%B8%20%D0%92%202014\nagl\gruz\tab_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</cp:revision>
  <cp:lastPrinted>2019-07-09T11:07:00Z</cp:lastPrinted>
  <dcterms:created xsi:type="dcterms:W3CDTF">2014-12-18T08:16:00Z</dcterms:created>
  <dcterms:modified xsi:type="dcterms:W3CDTF">2019-07-09T11:07:00Z</dcterms:modified>
</cp:coreProperties>
</file>